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78"/>
        <w:rPr>
          <w:rFonts w:ascii="Times New Roman"/>
          <w:sz w:val="36"/>
        </w:rPr>
      </w:pPr>
    </w:p>
    <w:p>
      <w:pPr>
        <w:pStyle w:val="Title"/>
      </w:pPr>
      <w:r>
        <w:rPr/>
        <w:t>Call-Off</w:t>
      </w:r>
      <w:r>
        <w:rPr>
          <w:spacing w:val="-3"/>
        </w:rPr>
        <w:t> </w:t>
      </w:r>
      <w:r>
        <w:rPr/>
        <w:t>Schedule</w:t>
      </w:r>
      <w:r>
        <w:rPr>
          <w:spacing w:val="-3"/>
        </w:rPr>
        <w:t> </w:t>
      </w:r>
      <w:r>
        <w:rPr/>
        <w:t>3</w:t>
      </w:r>
      <w:r>
        <w:rPr>
          <w:spacing w:val="-3"/>
        </w:rPr>
        <w:t> </w:t>
      </w:r>
      <w:r>
        <w:rPr/>
        <w:t>(Continuous</w:t>
      </w:r>
      <w:r>
        <w:rPr>
          <w:spacing w:val="-3"/>
        </w:rPr>
        <w:t> </w:t>
      </w:r>
      <w:r>
        <w:rPr>
          <w:spacing w:val="-2"/>
        </w:rPr>
        <w:t>Improvement)</w:t>
      </w:r>
    </w:p>
    <w:p>
      <w:pPr>
        <w:pStyle w:val="BodyText"/>
        <w:rPr>
          <w:b/>
          <w:sz w:val="20"/>
        </w:rPr>
      </w:pPr>
    </w:p>
    <w:p>
      <w:pPr>
        <w:pStyle w:val="BodyText"/>
        <w:rPr>
          <w:b/>
          <w:sz w:val="20"/>
        </w:rPr>
      </w:pPr>
    </w:p>
    <w:p>
      <w:pPr>
        <w:pStyle w:val="BodyText"/>
        <w:spacing w:before="14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2"/>
        <w:gridCol w:w="4395"/>
        <w:gridCol w:w="1710"/>
      </w:tblGrid>
      <w:tr>
        <w:trPr>
          <w:trHeight w:val="256" w:hRule="atLeast"/>
        </w:trPr>
        <w:tc>
          <w:tcPr>
            <w:tcW w:w="8515" w:type="dxa"/>
            <w:gridSpan w:val="4"/>
            <w:shd w:val="clear" w:color="auto" w:fill="BEBEBE"/>
          </w:tcPr>
          <w:p>
            <w:pPr>
              <w:pStyle w:val="TableParagraph"/>
              <w:spacing w:line="236" w:lineRule="exact"/>
              <w:rPr>
                <w:b/>
                <w:sz w:val="21"/>
              </w:rPr>
            </w:pPr>
            <w:r>
              <w:rPr>
                <w:b/>
                <w:sz w:val="21"/>
              </w:rPr>
              <w:t>Document</w:t>
            </w:r>
            <w:r>
              <w:rPr>
                <w:b/>
                <w:spacing w:val="-7"/>
                <w:sz w:val="21"/>
              </w:rPr>
              <w:t> </w:t>
            </w:r>
            <w:r>
              <w:rPr>
                <w:b/>
                <w:spacing w:val="-2"/>
                <w:sz w:val="21"/>
              </w:rPr>
              <w:t>Management</w:t>
            </w:r>
          </w:p>
        </w:tc>
      </w:tr>
      <w:tr>
        <w:trPr>
          <w:trHeight w:val="253" w:hRule="atLeast"/>
        </w:trPr>
        <w:tc>
          <w:tcPr>
            <w:tcW w:w="708" w:type="dxa"/>
            <w:shd w:val="clear" w:color="auto" w:fill="BEBEBE"/>
          </w:tcPr>
          <w:p>
            <w:pPr>
              <w:pStyle w:val="TableParagraph"/>
              <w:rPr>
                <w:b/>
                <w:sz w:val="20"/>
              </w:rPr>
            </w:pPr>
            <w:r>
              <w:rPr>
                <w:b/>
                <w:spacing w:val="-5"/>
                <w:sz w:val="20"/>
              </w:rPr>
              <w:t>Ver</w:t>
            </w:r>
          </w:p>
        </w:tc>
        <w:tc>
          <w:tcPr>
            <w:tcW w:w="1702" w:type="dxa"/>
            <w:shd w:val="clear" w:color="auto" w:fill="BEBEBE"/>
          </w:tcPr>
          <w:p>
            <w:pPr>
              <w:pStyle w:val="TableParagraph"/>
              <w:rPr>
                <w:b/>
                <w:sz w:val="20"/>
              </w:rPr>
            </w:pPr>
            <w:r>
              <w:rPr>
                <w:b/>
                <w:spacing w:val="-4"/>
                <w:sz w:val="20"/>
              </w:rPr>
              <w:t>Date</w:t>
            </w:r>
          </w:p>
        </w:tc>
        <w:tc>
          <w:tcPr>
            <w:tcW w:w="4395" w:type="dxa"/>
            <w:shd w:val="clear" w:color="auto" w:fill="BEBEBE"/>
          </w:tcPr>
          <w:p>
            <w:pPr>
              <w:pStyle w:val="TableParagraph"/>
              <w:rPr>
                <w:b/>
                <w:sz w:val="20"/>
              </w:rPr>
            </w:pPr>
            <w:r>
              <w:rPr>
                <w:b/>
                <w:spacing w:val="-2"/>
                <w:sz w:val="20"/>
              </w:rPr>
              <w:t>Version</w:t>
            </w:r>
          </w:p>
        </w:tc>
        <w:tc>
          <w:tcPr>
            <w:tcW w:w="1710" w:type="dxa"/>
            <w:shd w:val="clear" w:color="auto" w:fill="BEBEBE"/>
          </w:tcPr>
          <w:p>
            <w:pPr>
              <w:pStyle w:val="TableParagraph"/>
              <w:rPr>
                <w:b/>
                <w:sz w:val="20"/>
              </w:rPr>
            </w:pPr>
            <w:r>
              <w:rPr>
                <w:b/>
                <w:spacing w:val="-2"/>
                <w:sz w:val="20"/>
              </w:rPr>
              <w:t>Author</w:t>
            </w:r>
          </w:p>
        </w:tc>
      </w:tr>
      <w:tr>
        <w:trPr>
          <w:trHeight w:val="498" w:hRule="atLeast"/>
        </w:trPr>
        <w:tc>
          <w:tcPr>
            <w:tcW w:w="708" w:type="dxa"/>
          </w:tcPr>
          <w:p>
            <w:pPr>
              <w:pStyle w:val="TableParagraph"/>
              <w:rPr>
                <w:sz w:val="20"/>
              </w:rPr>
            </w:pPr>
            <w:r>
              <w:rPr>
                <w:spacing w:val="-5"/>
                <w:sz w:val="20"/>
              </w:rPr>
              <w:t>0.1</w:t>
            </w:r>
          </w:p>
        </w:tc>
        <w:tc>
          <w:tcPr>
            <w:tcW w:w="1702" w:type="dxa"/>
          </w:tcPr>
          <w:p>
            <w:pPr>
              <w:pStyle w:val="TableParagraph"/>
              <w:rPr>
                <w:sz w:val="20"/>
              </w:rPr>
            </w:pPr>
            <w:r>
              <w:rPr>
                <w:sz w:val="20"/>
              </w:rPr>
              <w:t>July</w:t>
            </w:r>
            <w:r>
              <w:rPr>
                <w:spacing w:val="-6"/>
                <w:sz w:val="20"/>
              </w:rPr>
              <w:t> </w:t>
            </w:r>
            <w:r>
              <w:rPr>
                <w:spacing w:val="-4"/>
                <w:sz w:val="20"/>
              </w:rPr>
              <w:t>2023</w:t>
            </w:r>
          </w:p>
        </w:tc>
        <w:tc>
          <w:tcPr>
            <w:tcW w:w="4395" w:type="dxa"/>
          </w:tcPr>
          <w:p>
            <w:pPr>
              <w:pStyle w:val="TableParagraph"/>
              <w:rPr>
                <w:sz w:val="20"/>
              </w:rPr>
            </w:pPr>
            <w:r>
              <w:rPr>
                <w:sz w:val="20"/>
              </w:rPr>
              <w:t>SQ</w:t>
            </w:r>
            <w:r>
              <w:rPr>
                <w:spacing w:val="-6"/>
                <w:sz w:val="20"/>
              </w:rPr>
              <w:t> </w:t>
            </w:r>
            <w:r>
              <w:rPr>
                <w:sz w:val="20"/>
              </w:rPr>
              <w:t>Stage</w:t>
            </w:r>
            <w:r>
              <w:rPr>
                <w:spacing w:val="-4"/>
                <w:sz w:val="20"/>
              </w:rPr>
              <w:t> </w:t>
            </w:r>
            <w:r>
              <w:rPr>
                <w:spacing w:val="-2"/>
                <w:sz w:val="20"/>
              </w:rPr>
              <w:t>Version</w:t>
            </w:r>
          </w:p>
        </w:tc>
        <w:tc>
          <w:tcPr>
            <w:tcW w:w="1710" w:type="dxa"/>
          </w:tcPr>
          <w:p>
            <w:pPr>
              <w:pStyle w:val="TableParagraph"/>
              <w:rPr>
                <w:sz w:val="20"/>
              </w:rPr>
            </w:pPr>
            <w:r>
              <w:rPr>
                <w:spacing w:val="-5"/>
                <w:sz w:val="20"/>
              </w:rPr>
              <w:t>CCS</w:t>
            </w:r>
          </w:p>
        </w:tc>
      </w:tr>
      <w:tr>
        <w:trPr>
          <w:trHeight w:val="498" w:hRule="atLeast"/>
        </w:trPr>
        <w:tc>
          <w:tcPr>
            <w:tcW w:w="708" w:type="dxa"/>
          </w:tcPr>
          <w:p>
            <w:pPr>
              <w:pStyle w:val="TableParagraph"/>
              <w:rPr>
                <w:sz w:val="20"/>
              </w:rPr>
            </w:pPr>
            <w:r>
              <w:rPr>
                <w:spacing w:val="-5"/>
                <w:sz w:val="20"/>
              </w:rPr>
              <w:t>0.2</w:t>
            </w:r>
          </w:p>
        </w:tc>
        <w:tc>
          <w:tcPr>
            <w:tcW w:w="1702" w:type="dxa"/>
          </w:tcPr>
          <w:p>
            <w:pPr>
              <w:pStyle w:val="TableParagraph"/>
              <w:rPr>
                <w:sz w:val="20"/>
              </w:rPr>
            </w:pPr>
            <w:r>
              <w:rPr>
                <w:sz w:val="20"/>
              </w:rPr>
              <w:t>August</w:t>
            </w:r>
            <w:r>
              <w:rPr>
                <w:spacing w:val="-9"/>
                <w:sz w:val="20"/>
              </w:rPr>
              <w:t> </w:t>
            </w:r>
            <w:r>
              <w:rPr>
                <w:spacing w:val="-4"/>
                <w:sz w:val="20"/>
              </w:rPr>
              <w:t>2023</w:t>
            </w:r>
          </w:p>
        </w:tc>
        <w:tc>
          <w:tcPr>
            <w:tcW w:w="4395" w:type="dxa"/>
          </w:tcPr>
          <w:p>
            <w:pPr>
              <w:pStyle w:val="TableParagraph"/>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710" w:type="dxa"/>
          </w:tcPr>
          <w:p>
            <w:pPr>
              <w:pStyle w:val="TableParagraph"/>
              <w:rPr>
                <w:sz w:val="20"/>
              </w:rPr>
            </w:pPr>
            <w:r>
              <w:rPr>
                <w:spacing w:val="-5"/>
                <w:sz w:val="20"/>
              </w:rPr>
              <w:t>CCS</w:t>
            </w:r>
          </w:p>
        </w:tc>
      </w:tr>
      <w:tr>
        <w:trPr>
          <w:trHeight w:val="497" w:hRule="atLeast"/>
        </w:trPr>
        <w:tc>
          <w:tcPr>
            <w:tcW w:w="708" w:type="dxa"/>
          </w:tcPr>
          <w:p>
            <w:pPr>
              <w:pStyle w:val="TableParagraph"/>
              <w:rPr>
                <w:sz w:val="20"/>
              </w:rPr>
            </w:pPr>
            <w:r>
              <w:rPr>
                <w:spacing w:val="-5"/>
                <w:sz w:val="20"/>
              </w:rPr>
              <w:t>0.3</w:t>
            </w:r>
          </w:p>
        </w:tc>
        <w:tc>
          <w:tcPr>
            <w:tcW w:w="1702" w:type="dxa"/>
          </w:tcPr>
          <w:p>
            <w:pPr>
              <w:pStyle w:val="TableParagraph"/>
              <w:rPr>
                <w:sz w:val="20"/>
              </w:rPr>
            </w:pPr>
            <w:r>
              <w:rPr>
                <w:sz w:val="20"/>
              </w:rPr>
              <w:t>October</w:t>
            </w:r>
            <w:r>
              <w:rPr>
                <w:spacing w:val="-11"/>
                <w:sz w:val="20"/>
              </w:rPr>
              <w:t> </w:t>
            </w:r>
            <w:r>
              <w:rPr>
                <w:spacing w:val="-4"/>
                <w:sz w:val="20"/>
              </w:rPr>
              <w:t>2023</w:t>
            </w:r>
          </w:p>
        </w:tc>
        <w:tc>
          <w:tcPr>
            <w:tcW w:w="4395" w:type="dxa"/>
          </w:tcPr>
          <w:p>
            <w:pPr>
              <w:pStyle w:val="TableParagraph"/>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line="240" w:lineRule="auto"/>
              <w:rPr>
                <w:i/>
                <w:sz w:val="20"/>
              </w:rPr>
            </w:pPr>
            <w:r>
              <w:rPr>
                <w:i/>
                <w:sz w:val="20"/>
              </w:rPr>
              <w:t>(No</w:t>
            </w:r>
            <w:r>
              <w:rPr>
                <w:i/>
                <w:spacing w:val="-9"/>
                <w:sz w:val="20"/>
              </w:rPr>
              <w:t> </w:t>
            </w:r>
            <w:r>
              <w:rPr>
                <w:i/>
                <w:sz w:val="20"/>
              </w:rPr>
              <w:t>changes</w:t>
            </w:r>
            <w:r>
              <w:rPr>
                <w:i/>
                <w:spacing w:val="-7"/>
                <w:sz w:val="20"/>
              </w:rPr>
              <w:t> </w:t>
            </w:r>
            <w:r>
              <w:rPr>
                <w:i/>
                <w:sz w:val="20"/>
              </w:rPr>
              <w:t>from</w:t>
            </w:r>
            <w:r>
              <w:rPr>
                <w:i/>
                <w:spacing w:val="-7"/>
                <w:sz w:val="20"/>
              </w:rPr>
              <w:t> </w:t>
            </w:r>
            <w:r>
              <w:rPr>
                <w:i/>
                <w:sz w:val="20"/>
              </w:rPr>
              <w:t>Dialogue</w:t>
            </w:r>
            <w:r>
              <w:rPr>
                <w:i/>
                <w:spacing w:val="-6"/>
                <w:sz w:val="20"/>
              </w:rPr>
              <w:t> </w:t>
            </w:r>
            <w:r>
              <w:rPr>
                <w:i/>
                <w:sz w:val="20"/>
              </w:rPr>
              <w:t>Stage</w:t>
            </w:r>
            <w:r>
              <w:rPr>
                <w:i/>
                <w:spacing w:val="-7"/>
                <w:sz w:val="20"/>
              </w:rPr>
              <w:t> </w:t>
            </w:r>
            <w:r>
              <w:rPr>
                <w:i/>
                <w:spacing w:val="-2"/>
                <w:sz w:val="20"/>
              </w:rPr>
              <w:t>Version)</w:t>
            </w:r>
          </w:p>
        </w:tc>
        <w:tc>
          <w:tcPr>
            <w:tcW w:w="1710" w:type="dxa"/>
          </w:tcPr>
          <w:p>
            <w:pPr>
              <w:pStyle w:val="TableParagraph"/>
              <w:rPr>
                <w:sz w:val="20"/>
              </w:rPr>
            </w:pPr>
            <w:r>
              <w:rPr>
                <w:spacing w:val="-5"/>
                <w:sz w:val="20"/>
              </w:rPr>
              <w:t>CCS</w:t>
            </w:r>
          </w:p>
        </w:tc>
      </w:tr>
      <w:tr>
        <w:trPr>
          <w:trHeight w:val="498" w:hRule="atLeast"/>
        </w:trPr>
        <w:tc>
          <w:tcPr>
            <w:tcW w:w="708" w:type="dxa"/>
          </w:tcPr>
          <w:p>
            <w:pPr>
              <w:pStyle w:val="TableParagraph"/>
              <w:rPr>
                <w:sz w:val="20"/>
              </w:rPr>
            </w:pPr>
            <w:r>
              <w:rPr>
                <w:spacing w:val="-5"/>
                <w:sz w:val="20"/>
              </w:rPr>
              <w:t>0.4</w:t>
            </w:r>
          </w:p>
        </w:tc>
        <w:tc>
          <w:tcPr>
            <w:tcW w:w="1702" w:type="dxa"/>
          </w:tcPr>
          <w:p>
            <w:pPr>
              <w:pStyle w:val="TableParagraph"/>
              <w:rPr>
                <w:sz w:val="20"/>
              </w:rPr>
            </w:pPr>
            <w:r>
              <w:rPr>
                <w:sz w:val="20"/>
              </w:rPr>
              <w:t>November</w:t>
            </w:r>
            <w:r>
              <w:rPr>
                <w:spacing w:val="-11"/>
                <w:sz w:val="20"/>
              </w:rPr>
              <w:t> </w:t>
            </w:r>
            <w:r>
              <w:rPr>
                <w:spacing w:val="-4"/>
                <w:sz w:val="20"/>
              </w:rPr>
              <w:t>2023</w:t>
            </w:r>
          </w:p>
        </w:tc>
        <w:tc>
          <w:tcPr>
            <w:tcW w:w="4395" w:type="dxa"/>
          </w:tcPr>
          <w:p>
            <w:pPr>
              <w:pStyle w:val="TableParagraph"/>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spacing w:line="240" w:lineRule="auto"/>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710" w:type="dxa"/>
          </w:tcPr>
          <w:p>
            <w:pPr>
              <w:pStyle w:val="TableParagraph"/>
              <w:rPr>
                <w:sz w:val="20"/>
              </w:rPr>
            </w:pPr>
            <w:r>
              <w:rPr>
                <w:spacing w:val="-5"/>
                <w:sz w:val="20"/>
              </w:rPr>
              <w:t>CCS</w:t>
            </w:r>
          </w:p>
        </w:tc>
      </w:tr>
      <w:tr>
        <w:trPr>
          <w:trHeight w:val="498" w:hRule="atLeast"/>
        </w:trPr>
        <w:tc>
          <w:tcPr>
            <w:tcW w:w="708" w:type="dxa"/>
          </w:tcPr>
          <w:p>
            <w:pPr>
              <w:pStyle w:val="TableParagraph"/>
              <w:rPr>
                <w:sz w:val="20"/>
              </w:rPr>
            </w:pPr>
            <w:r>
              <w:rPr>
                <w:spacing w:val="-5"/>
                <w:sz w:val="20"/>
              </w:rPr>
              <w:t>1.0</w:t>
            </w:r>
          </w:p>
        </w:tc>
        <w:tc>
          <w:tcPr>
            <w:tcW w:w="1702" w:type="dxa"/>
          </w:tcPr>
          <w:p>
            <w:pPr>
              <w:pStyle w:val="TableParagraph"/>
              <w:rPr>
                <w:sz w:val="20"/>
              </w:rPr>
            </w:pPr>
            <w:r>
              <w:rPr>
                <w:spacing w:val="-2"/>
                <w:sz w:val="20"/>
              </w:rPr>
              <w:t>February</w:t>
            </w:r>
          </w:p>
        </w:tc>
        <w:tc>
          <w:tcPr>
            <w:tcW w:w="4395" w:type="dxa"/>
          </w:tcPr>
          <w:p>
            <w:pPr>
              <w:pStyle w:val="TableParagraph"/>
              <w:rPr>
                <w:sz w:val="20"/>
              </w:rPr>
            </w:pPr>
            <w:r>
              <w:rPr>
                <w:sz w:val="20"/>
              </w:rPr>
              <w:t>Award</w:t>
            </w:r>
            <w:r>
              <w:rPr>
                <w:spacing w:val="-6"/>
                <w:sz w:val="20"/>
              </w:rPr>
              <w:t> </w:t>
            </w:r>
            <w:r>
              <w:rPr>
                <w:spacing w:val="-2"/>
                <w:sz w:val="20"/>
              </w:rPr>
              <w:t>Version</w:t>
            </w:r>
          </w:p>
          <w:p>
            <w:pPr>
              <w:pStyle w:val="TableParagraph"/>
              <w:spacing w:line="240" w:lineRule="auto"/>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710" w:type="dxa"/>
          </w:tcPr>
          <w:p>
            <w:pPr>
              <w:pStyle w:val="TableParagraph"/>
              <w:rPr>
                <w:sz w:val="20"/>
              </w:rPr>
            </w:pPr>
            <w:r>
              <w:rPr>
                <w:spacing w:val="-5"/>
                <w:sz w:val="20"/>
              </w:rPr>
              <w:t>CCS</w:t>
            </w:r>
          </w:p>
        </w:tc>
      </w:tr>
    </w:tbl>
    <w:p>
      <w:pPr>
        <w:pStyle w:val="BodyText"/>
        <w:rPr>
          <w:b/>
          <w:sz w:val="21"/>
        </w:rPr>
      </w:pPr>
    </w:p>
    <w:p>
      <w:pPr>
        <w:pStyle w:val="BodyText"/>
        <w:rPr>
          <w:b/>
          <w:sz w:val="21"/>
        </w:rPr>
      </w:pPr>
    </w:p>
    <w:p>
      <w:pPr>
        <w:pStyle w:val="BodyText"/>
        <w:spacing w:before="107"/>
        <w:rPr>
          <w:b/>
          <w:sz w:val="21"/>
        </w:rPr>
      </w:pPr>
    </w:p>
    <w:p>
      <w:pPr>
        <w:spacing w:before="0"/>
        <w:ind w:left="23" w:right="0" w:firstLine="0"/>
        <w:jc w:val="left"/>
        <w:rPr>
          <w:b/>
          <w:i/>
          <w:sz w:val="21"/>
        </w:rPr>
      </w:pPr>
      <w:r>
        <w:rPr>
          <w:b/>
          <w:i/>
          <w:sz w:val="21"/>
        </w:rPr>
        <w:t>The</w:t>
      </w:r>
      <w:r>
        <w:rPr>
          <w:b/>
          <w:i/>
          <w:spacing w:val="-7"/>
          <w:sz w:val="21"/>
        </w:rPr>
        <w:t> </w:t>
      </w:r>
      <w:r>
        <w:rPr>
          <w:b/>
          <w:i/>
          <w:sz w:val="21"/>
        </w:rPr>
        <w:t>requirement</w:t>
      </w:r>
      <w:r>
        <w:rPr>
          <w:b/>
          <w:i/>
          <w:spacing w:val="-6"/>
          <w:sz w:val="21"/>
        </w:rPr>
        <w:t> </w:t>
      </w:r>
      <w:r>
        <w:rPr>
          <w:b/>
          <w:i/>
          <w:sz w:val="21"/>
        </w:rPr>
        <w:t>that</w:t>
      </w:r>
      <w:r>
        <w:rPr>
          <w:b/>
          <w:i/>
          <w:spacing w:val="-6"/>
          <w:sz w:val="21"/>
        </w:rPr>
        <w:t> </w:t>
      </w:r>
      <w:r>
        <w:rPr>
          <w:b/>
          <w:i/>
          <w:sz w:val="21"/>
        </w:rPr>
        <w:t>the</w:t>
      </w:r>
      <w:r>
        <w:rPr>
          <w:b/>
          <w:i/>
          <w:spacing w:val="-6"/>
          <w:sz w:val="21"/>
        </w:rPr>
        <w:t> </w:t>
      </w:r>
      <w:r>
        <w:rPr>
          <w:b/>
          <w:i/>
          <w:sz w:val="21"/>
        </w:rPr>
        <w:t>supplier</w:t>
      </w:r>
      <w:r>
        <w:rPr>
          <w:b/>
          <w:i/>
          <w:spacing w:val="-6"/>
          <w:sz w:val="21"/>
        </w:rPr>
        <w:t> </w:t>
      </w:r>
      <w:r>
        <w:rPr>
          <w:b/>
          <w:i/>
          <w:sz w:val="21"/>
        </w:rPr>
        <w:t>always</w:t>
      </w:r>
      <w:r>
        <w:rPr>
          <w:b/>
          <w:i/>
          <w:spacing w:val="-6"/>
          <w:sz w:val="21"/>
        </w:rPr>
        <w:t> </w:t>
      </w:r>
      <w:r>
        <w:rPr>
          <w:b/>
          <w:i/>
          <w:sz w:val="21"/>
        </w:rPr>
        <w:t>improves</w:t>
      </w:r>
      <w:r>
        <w:rPr>
          <w:b/>
          <w:i/>
          <w:spacing w:val="-5"/>
          <w:sz w:val="21"/>
        </w:rPr>
        <w:t> </w:t>
      </w:r>
      <w:r>
        <w:rPr>
          <w:b/>
          <w:i/>
          <w:sz w:val="21"/>
        </w:rPr>
        <w:t>how</w:t>
      </w:r>
      <w:r>
        <w:rPr>
          <w:b/>
          <w:i/>
          <w:spacing w:val="-7"/>
          <w:sz w:val="21"/>
        </w:rPr>
        <w:t> </w:t>
      </w:r>
      <w:r>
        <w:rPr>
          <w:b/>
          <w:i/>
          <w:sz w:val="21"/>
        </w:rPr>
        <w:t>it</w:t>
      </w:r>
      <w:r>
        <w:rPr>
          <w:b/>
          <w:i/>
          <w:spacing w:val="-7"/>
          <w:sz w:val="21"/>
        </w:rPr>
        <w:t> </w:t>
      </w:r>
      <w:r>
        <w:rPr>
          <w:b/>
          <w:i/>
          <w:sz w:val="21"/>
        </w:rPr>
        <w:t>delivers</w:t>
      </w:r>
      <w:r>
        <w:rPr>
          <w:b/>
          <w:i/>
          <w:spacing w:val="-6"/>
          <w:sz w:val="21"/>
        </w:rPr>
        <w:t> </w:t>
      </w:r>
      <w:r>
        <w:rPr>
          <w:b/>
          <w:i/>
          <w:sz w:val="21"/>
        </w:rPr>
        <w:t>the</w:t>
      </w:r>
      <w:r>
        <w:rPr>
          <w:b/>
          <w:i/>
          <w:spacing w:val="-6"/>
          <w:sz w:val="21"/>
        </w:rPr>
        <w:t> </w:t>
      </w:r>
      <w:r>
        <w:rPr>
          <w:b/>
          <w:i/>
          <w:sz w:val="21"/>
        </w:rPr>
        <w:t>call-off</w:t>
      </w:r>
      <w:r>
        <w:rPr>
          <w:b/>
          <w:i/>
          <w:spacing w:val="-6"/>
          <w:sz w:val="21"/>
        </w:rPr>
        <w:t> </w:t>
      </w:r>
      <w:r>
        <w:rPr>
          <w:b/>
          <w:i/>
          <w:spacing w:val="-2"/>
          <w:sz w:val="21"/>
        </w:rPr>
        <w:t>contract.</w:t>
      </w:r>
    </w:p>
    <w:p>
      <w:pPr>
        <w:spacing w:after="0"/>
        <w:jc w:val="left"/>
        <w:rPr>
          <w:b/>
          <w:i/>
          <w:sz w:val="21"/>
        </w:rPr>
        <w:sectPr>
          <w:headerReference w:type="default" r:id="rId5"/>
          <w:footerReference w:type="default" r:id="rId6"/>
          <w:type w:val="continuous"/>
          <w:pgSz w:w="11910" w:h="16840"/>
          <w:pgMar w:header="715" w:footer="1378" w:top="1580" w:bottom="1560" w:left="1417" w:right="1417"/>
          <w:pgNumType w:start="1"/>
        </w:sectPr>
      </w:pPr>
    </w:p>
    <w:p>
      <w:pPr>
        <w:pStyle w:val="BodyText"/>
        <w:rPr>
          <w:b/>
          <w:i/>
        </w:rPr>
      </w:pPr>
    </w:p>
    <w:p>
      <w:pPr>
        <w:pStyle w:val="BodyText"/>
        <w:spacing w:before="63"/>
        <w:rPr>
          <w:b/>
          <w:i/>
        </w:rPr>
      </w:pPr>
    </w:p>
    <w:p>
      <w:pPr>
        <w:pStyle w:val="Heading1"/>
        <w:numPr>
          <w:ilvl w:val="0"/>
          <w:numId w:val="1"/>
        </w:numPr>
        <w:tabs>
          <w:tab w:pos="381" w:val="left" w:leader="none"/>
        </w:tabs>
        <w:spacing w:line="240" w:lineRule="auto" w:before="0" w:after="0"/>
        <w:ind w:left="381" w:right="0" w:hanging="358"/>
        <w:jc w:val="left"/>
      </w:pPr>
      <w:r>
        <w:rPr/>
        <w:t>Buyer’s</w:t>
      </w:r>
      <w:r>
        <w:rPr>
          <w:spacing w:val="-2"/>
        </w:rPr>
        <w:t> Rights</w:t>
      </w:r>
    </w:p>
    <w:p>
      <w:pPr>
        <w:pStyle w:val="ListParagraph"/>
        <w:numPr>
          <w:ilvl w:val="1"/>
          <w:numId w:val="1"/>
        </w:numPr>
        <w:tabs>
          <w:tab w:pos="959" w:val="left" w:leader="none"/>
        </w:tabs>
        <w:spacing w:line="240" w:lineRule="auto" w:before="240" w:after="0"/>
        <w:ind w:left="959" w:right="50" w:hanging="576"/>
        <w:jc w:val="left"/>
        <w:rPr>
          <w:sz w:val="24"/>
        </w:rPr>
      </w:pPr>
      <w:r>
        <w:rPr>
          <w:sz w:val="24"/>
        </w:rPr>
        <w:t>The Buyer and the Supplier recognise that, where specified in Framework Schedule</w:t>
      </w:r>
      <w:r>
        <w:rPr>
          <w:spacing w:val="-5"/>
          <w:sz w:val="24"/>
        </w:rPr>
        <w:t> </w:t>
      </w:r>
      <w:r>
        <w:rPr>
          <w:sz w:val="24"/>
        </w:rPr>
        <w:t>4</w:t>
      </w:r>
      <w:r>
        <w:rPr>
          <w:spacing w:val="-3"/>
          <w:sz w:val="24"/>
        </w:rPr>
        <w:t> </w:t>
      </w:r>
      <w:r>
        <w:rPr>
          <w:sz w:val="24"/>
        </w:rPr>
        <w:t>(Framework</w:t>
      </w:r>
      <w:r>
        <w:rPr>
          <w:spacing w:val="-3"/>
          <w:sz w:val="24"/>
        </w:rPr>
        <w:t> </w:t>
      </w:r>
      <w:r>
        <w:rPr>
          <w:sz w:val="24"/>
        </w:rPr>
        <w:t>Management),</w:t>
      </w:r>
      <w:r>
        <w:rPr>
          <w:spacing w:val="-1"/>
          <w:sz w:val="24"/>
        </w:rPr>
        <w:t> </w:t>
      </w:r>
      <w:r>
        <w:rPr>
          <w:sz w:val="24"/>
        </w:rPr>
        <w:t>the</w:t>
      </w:r>
      <w:r>
        <w:rPr>
          <w:spacing w:val="-3"/>
          <w:sz w:val="24"/>
        </w:rPr>
        <w:t> </w:t>
      </w:r>
      <w:r>
        <w:rPr>
          <w:sz w:val="24"/>
        </w:rPr>
        <w:t>Buyer</w:t>
      </w:r>
      <w:r>
        <w:rPr>
          <w:spacing w:val="-3"/>
          <w:sz w:val="24"/>
        </w:rPr>
        <w:t> </w:t>
      </w:r>
      <w:r>
        <w:rPr>
          <w:sz w:val="24"/>
        </w:rPr>
        <w:t>may</w:t>
      </w:r>
      <w:r>
        <w:rPr>
          <w:spacing w:val="-3"/>
          <w:sz w:val="24"/>
        </w:rPr>
        <w:t> </w:t>
      </w:r>
      <w:r>
        <w:rPr>
          <w:sz w:val="24"/>
        </w:rPr>
        <w:t>give</w:t>
      </w:r>
      <w:r>
        <w:rPr>
          <w:spacing w:val="-4"/>
          <w:sz w:val="24"/>
        </w:rPr>
        <w:t> </w:t>
      </w:r>
      <w:r>
        <w:rPr>
          <w:sz w:val="24"/>
        </w:rPr>
        <w:t>CCS</w:t>
      </w:r>
      <w:r>
        <w:rPr>
          <w:spacing w:val="-3"/>
          <w:sz w:val="24"/>
        </w:rPr>
        <w:t> </w:t>
      </w:r>
      <w:r>
        <w:rPr>
          <w:sz w:val="24"/>
        </w:rPr>
        <w:t>the</w:t>
      </w:r>
      <w:r>
        <w:rPr>
          <w:spacing w:val="-3"/>
          <w:sz w:val="24"/>
        </w:rPr>
        <w:t> </w:t>
      </w:r>
      <w:r>
        <w:rPr>
          <w:sz w:val="24"/>
        </w:rPr>
        <w:t>right</w:t>
      </w:r>
      <w:r>
        <w:rPr>
          <w:spacing w:val="-3"/>
          <w:sz w:val="24"/>
        </w:rPr>
        <w:t> </w:t>
      </w:r>
      <w:r>
        <w:rPr>
          <w:sz w:val="24"/>
        </w:rPr>
        <w:t>to enforce the Buyer's rights under this Schedule.</w:t>
      </w:r>
    </w:p>
    <w:p>
      <w:pPr>
        <w:pStyle w:val="Heading1"/>
        <w:numPr>
          <w:ilvl w:val="0"/>
          <w:numId w:val="1"/>
        </w:numPr>
        <w:tabs>
          <w:tab w:pos="381" w:val="left" w:leader="none"/>
        </w:tabs>
        <w:spacing w:line="240" w:lineRule="auto" w:before="120" w:after="0"/>
        <w:ind w:left="381" w:right="0" w:hanging="358"/>
        <w:jc w:val="left"/>
      </w:pPr>
      <w:r>
        <w:rPr/>
        <w:t>Supplier’s</w:t>
      </w:r>
      <w:r>
        <w:rPr>
          <w:spacing w:val="-7"/>
        </w:rPr>
        <w:t> </w:t>
      </w:r>
      <w:r>
        <w:rPr>
          <w:spacing w:val="-2"/>
        </w:rPr>
        <w:t>Obligations</w:t>
      </w:r>
    </w:p>
    <w:p>
      <w:pPr>
        <w:pStyle w:val="ListParagraph"/>
        <w:numPr>
          <w:ilvl w:val="1"/>
          <w:numId w:val="1"/>
        </w:numPr>
        <w:tabs>
          <w:tab w:pos="957" w:val="left" w:leader="none"/>
          <w:tab w:pos="959" w:val="left" w:leader="none"/>
        </w:tabs>
        <w:spacing w:line="240" w:lineRule="auto" w:before="240" w:after="0"/>
        <w:ind w:left="959" w:right="17" w:hanging="576"/>
        <w:jc w:val="both"/>
        <w:rPr>
          <w:sz w:val="24"/>
        </w:rPr>
      </w:pPr>
      <w:r>
        <w:rPr>
          <w:sz w:val="24"/>
        </w:rPr>
        <w:t>The Supplier shall have an ongoing obligation throughout the Call Off Contract Period to identify new</w:t>
      </w:r>
      <w:r>
        <w:rPr>
          <w:spacing w:val="-1"/>
          <w:sz w:val="24"/>
        </w:rPr>
        <w:t> </w:t>
      </w:r>
      <w:r>
        <w:rPr>
          <w:sz w:val="24"/>
        </w:rPr>
        <w:t>or</w:t>
      </w:r>
      <w:r>
        <w:rPr>
          <w:spacing w:val="-3"/>
          <w:sz w:val="24"/>
        </w:rPr>
        <w:t> </w:t>
      </w:r>
      <w:r>
        <w:rPr>
          <w:sz w:val="24"/>
        </w:rPr>
        <w:t>potential</w:t>
      </w:r>
      <w:r>
        <w:rPr>
          <w:spacing w:val="-1"/>
          <w:sz w:val="24"/>
        </w:rPr>
        <w:t> </w:t>
      </w:r>
      <w:r>
        <w:rPr>
          <w:sz w:val="24"/>
        </w:rPr>
        <w:t>improvements to the provision of the Services in accordance with this Call-Off Schedule 3 with a view to reducing the Buyer’s costs (including the Charges) and/or improving the quality</w:t>
      </w:r>
      <w:r>
        <w:rPr>
          <w:spacing w:val="-9"/>
          <w:sz w:val="24"/>
        </w:rPr>
        <w:t> </w:t>
      </w:r>
      <w:r>
        <w:rPr>
          <w:sz w:val="24"/>
        </w:rPr>
        <w:t>and</w:t>
      </w:r>
      <w:r>
        <w:rPr>
          <w:spacing w:val="-9"/>
          <w:sz w:val="24"/>
        </w:rPr>
        <w:t> </w:t>
      </w:r>
      <w:r>
        <w:rPr>
          <w:sz w:val="24"/>
        </w:rPr>
        <w:t>efficiency</w:t>
      </w:r>
      <w:r>
        <w:rPr>
          <w:spacing w:val="-9"/>
          <w:sz w:val="24"/>
        </w:rPr>
        <w:t> </w:t>
      </w:r>
      <w:r>
        <w:rPr>
          <w:sz w:val="24"/>
        </w:rPr>
        <w:t>of</w:t>
      </w:r>
      <w:r>
        <w:rPr>
          <w:spacing w:val="-7"/>
          <w:sz w:val="24"/>
        </w:rPr>
        <w:t> </w:t>
      </w:r>
      <w:r>
        <w:rPr>
          <w:sz w:val="24"/>
        </w:rPr>
        <w:t>the</w:t>
      </w:r>
      <w:r>
        <w:rPr>
          <w:spacing w:val="-7"/>
          <w:sz w:val="24"/>
        </w:rPr>
        <w:t> </w:t>
      </w:r>
      <w:r>
        <w:rPr>
          <w:sz w:val="24"/>
        </w:rPr>
        <w:t>Services</w:t>
      </w:r>
      <w:r>
        <w:rPr>
          <w:spacing w:val="-8"/>
          <w:sz w:val="24"/>
        </w:rPr>
        <w:t> </w:t>
      </w:r>
      <w:r>
        <w:rPr>
          <w:sz w:val="24"/>
        </w:rPr>
        <w:t>and</w:t>
      </w:r>
      <w:r>
        <w:rPr>
          <w:spacing w:val="-9"/>
          <w:sz w:val="24"/>
        </w:rPr>
        <w:t> </w:t>
      </w:r>
      <w:r>
        <w:rPr>
          <w:sz w:val="24"/>
        </w:rPr>
        <w:t>their</w:t>
      </w:r>
      <w:r>
        <w:rPr>
          <w:spacing w:val="-9"/>
          <w:sz w:val="24"/>
        </w:rPr>
        <w:t> </w:t>
      </w:r>
      <w:r>
        <w:rPr>
          <w:sz w:val="24"/>
        </w:rPr>
        <w:t>supply</w:t>
      </w:r>
      <w:r>
        <w:rPr>
          <w:spacing w:val="-8"/>
          <w:sz w:val="24"/>
        </w:rPr>
        <w:t> </w:t>
      </w:r>
      <w:r>
        <w:rPr>
          <w:sz w:val="24"/>
        </w:rPr>
        <w:t>to</w:t>
      </w:r>
      <w:r>
        <w:rPr>
          <w:spacing w:val="-9"/>
          <w:sz w:val="24"/>
        </w:rPr>
        <w:t> </w:t>
      </w:r>
      <w:r>
        <w:rPr>
          <w:sz w:val="24"/>
        </w:rPr>
        <w:t>the</w:t>
      </w:r>
      <w:r>
        <w:rPr>
          <w:spacing w:val="-4"/>
          <w:sz w:val="24"/>
        </w:rPr>
        <w:t> </w:t>
      </w:r>
      <w:r>
        <w:rPr>
          <w:sz w:val="24"/>
        </w:rPr>
        <w:t>Buyer.</w:t>
      </w:r>
      <w:r>
        <w:rPr>
          <w:spacing w:val="-9"/>
          <w:sz w:val="24"/>
        </w:rPr>
        <w:t> </w:t>
      </w:r>
      <w:r>
        <w:rPr>
          <w:sz w:val="24"/>
        </w:rPr>
        <w:t>As</w:t>
      </w:r>
      <w:r>
        <w:rPr>
          <w:spacing w:val="-8"/>
          <w:sz w:val="24"/>
        </w:rPr>
        <w:t> </w:t>
      </w:r>
      <w:r>
        <w:rPr>
          <w:sz w:val="24"/>
        </w:rPr>
        <w:t>part</w:t>
      </w:r>
      <w:r>
        <w:rPr>
          <w:spacing w:val="-9"/>
          <w:sz w:val="24"/>
        </w:rPr>
        <w:t> </w:t>
      </w:r>
      <w:r>
        <w:rPr>
          <w:sz w:val="24"/>
        </w:rPr>
        <w:t>of this obligation the Supplier shall identify and report to the Buyer once every twelve (12) months:</w:t>
      </w:r>
    </w:p>
    <w:p>
      <w:pPr>
        <w:pStyle w:val="ListParagraph"/>
        <w:numPr>
          <w:ilvl w:val="2"/>
          <w:numId w:val="1"/>
        </w:numPr>
        <w:tabs>
          <w:tab w:pos="1677" w:val="left" w:leader="none"/>
          <w:tab w:pos="1679" w:val="left" w:leader="none"/>
        </w:tabs>
        <w:spacing w:line="240" w:lineRule="auto" w:before="121" w:after="0"/>
        <w:ind w:left="1679" w:right="23" w:hanging="720"/>
        <w:jc w:val="both"/>
        <w:rPr>
          <w:sz w:val="24"/>
        </w:rPr>
      </w:pPr>
      <w:r>
        <w:rPr>
          <w:sz w:val="24"/>
        </w:rPr>
        <w:t>the</w:t>
      </w:r>
      <w:r>
        <w:rPr>
          <w:spacing w:val="-12"/>
          <w:sz w:val="24"/>
        </w:rPr>
        <w:t> </w:t>
      </w:r>
      <w:r>
        <w:rPr>
          <w:sz w:val="24"/>
        </w:rPr>
        <w:t>emergence</w:t>
      </w:r>
      <w:r>
        <w:rPr>
          <w:spacing w:val="-12"/>
          <w:sz w:val="24"/>
        </w:rPr>
        <w:t> </w:t>
      </w:r>
      <w:r>
        <w:rPr>
          <w:sz w:val="24"/>
        </w:rPr>
        <w:t>of</w:t>
      </w:r>
      <w:r>
        <w:rPr>
          <w:spacing w:val="-12"/>
          <w:sz w:val="24"/>
        </w:rPr>
        <w:t> </w:t>
      </w:r>
      <w:r>
        <w:rPr>
          <w:sz w:val="24"/>
        </w:rPr>
        <w:t>new</w:t>
      </w:r>
      <w:r>
        <w:rPr>
          <w:spacing w:val="-13"/>
          <w:sz w:val="24"/>
        </w:rPr>
        <w:t> </w:t>
      </w:r>
      <w:r>
        <w:rPr>
          <w:sz w:val="24"/>
        </w:rPr>
        <w:t>and</w:t>
      </w:r>
      <w:r>
        <w:rPr>
          <w:spacing w:val="-12"/>
          <w:sz w:val="24"/>
        </w:rPr>
        <w:t> </w:t>
      </w:r>
      <w:r>
        <w:rPr>
          <w:sz w:val="24"/>
        </w:rPr>
        <w:t>evolving</w:t>
      </w:r>
      <w:r>
        <w:rPr>
          <w:spacing w:val="-12"/>
          <w:sz w:val="24"/>
        </w:rPr>
        <w:t> </w:t>
      </w:r>
      <w:r>
        <w:rPr>
          <w:sz w:val="24"/>
        </w:rPr>
        <w:t>relevant</w:t>
      </w:r>
      <w:r>
        <w:rPr>
          <w:spacing w:val="-12"/>
          <w:sz w:val="24"/>
        </w:rPr>
        <w:t> </w:t>
      </w:r>
      <w:r>
        <w:rPr>
          <w:sz w:val="24"/>
        </w:rPr>
        <w:t>technologies</w:t>
      </w:r>
      <w:r>
        <w:rPr>
          <w:spacing w:val="-12"/>
          <w:sz w:val="24"/>
        </w:rPr>
        <w:t> </w:t>
      </w:r>
      <w:r>
        <w:rPr>
          <w:sz w:val="24"/>
        </w:rPr>
        <w:t>which</w:t>
      </w:r>
      <w:r>
        <w:rPr>
          <w:spacing w:val="-12"/>
          <w:sz w:val="24"/>
        </w:rPr>
        <w:t> </w:t>
      </w:r>
      <w:r>
        <w:rPr>
          <w:sz w:val="24"/>
        </w:rPr>
        <w:t>could improve the Sites and/or the provision of the Services, and those technological advances potentially available to the Supplier and the Buyer which the Parties may wish to adopt;</w:t>
      </w:r>
    </w:p>
    <w:p>
      <w:pPr>
        <w:pStyle w:val="ListParagraph"/>
        <w:numPr>
          <w:ilvl w:val="2"/>
          <w:numId w:val="1"/>
        </w:numPr>
        <w:tabs>
          <w:tab w:pos="1677" w:val="left" w:leader="none"/>
          <w:tab w:pos="1679" w:val="left" w:leader="none"/>
        </w:tabs>
        <w:spacing w:line="240" w:lineRule="auto" w:before="120" w:after="0"/>
        <w:ind w:left="1679" w:right="24" w:hanging="720"/>
        <w:jc w:val="both"/>
        <w:rPr>
          <w:sz w:val="24"/>
        </w:rPr>
      </w:pPr>
      <w:r>
        <w:rPr>
          <w:sz w:val="24"/>
        </w:rPr>
        <w:t>new or potential improvements to the provision of the Services including the quality, responsiveness, procedures, benchmarking methods,</w:t>
      </w:r>
      <w:r>
        <w:rPr>
          <w:spacing w:val="-14"/>
          <w:sz w:val="24"/>
        </w:rPr>
        <w:t> </w:t>
      </w:r>
      <w:r>
        <w:rPr>
          <w:sz w:val="24"/>
        </w:rPr>
        <w:t>likely</w:t>
      </w:r>
      <w:r>
        <w:rPr>
          <w:spacing w:val="-15"/>
          <w:sz w:val="24"/>
        </w:rPr>
        <w:t> </w:t>
      </w:r>
      <w:r>
        <w:rPr>
          <w:sz w:val="24"/>
        </w:rPr>
        <w:t>performance</w:t>
      </w:r>
      <w:r>
        <w:rPr>
          <w:spacing w:val="-14"/>
          <w:sz w:val="24"/>
        </w:rPr>
        <w:t> </w:t>
      </w:r>
      <w:r>
        <w:rPr>
          <w:sz w:val="24"/>
        </w:rPr>
        <w:t>mechanisms</w:t>
      </w:r>
      <w:r>
        <w:rPr>
          <w:spacing w:val="-15"/>
          <w:sz w:val="24"/>
        </w:rPr>
        <w:t> </w:t>
      </w:r>
      <w:r>
        <w:rPr>
          <w:sz w:val="24"/>
        </w:rPr>
        <w:t>and</w:t>
      </w:r>
      <w:r>
        <w:rPr>
          <w:spacing w:val="-14"/>
          <w:sz w:val="24"/>
        </w:rPr>
        <w:t> </w:t>
      </w:r>
      <w:r>
        <w:rPr>
          <w:sz w:val="24"/>
        </w:rPr>
        <w:t>Buyer</w:t>
      </w:r>
      <w:r>
        <w:rPr>
          <w:spacing w:val="-15"/>
          <w:sz w:val="24"/>
        </w:rPr>
        <w:t> </w:t>
      </w:r>
      <w:r>
        <w:rPr>
          <w:sz w:val="24"/>
        </w:rPr>
        <w:t>support</w:t>
      </w:r>
      <w:r>
        <w:rPr>
          <w:spacing w:val="-15"/>
          <w:sz w:val="24"/>
        </w:rPr>
        <w:t> </w:t>
      </w:r>
      <w:r>
        <w:rPr>
          <w:sz w:val="24"/>
        </w:rPr>
        <w:t>Services in relation to the Services;</w:t>
      </w:r>
    </w:p>
    <w:p>
      <w:pPr>
        <w:pStyle w:val="ListParagraph"/>
        <w:numPr>
          <w:ilvl w:val="2"/>
          <w:numId w:val="1"/>
        </w:numPr>
        <w:tabs>
          <w:tab w:pos="1677" w:val="left" w:leader="none"/>
          <w:tab w:pos="1679" w:val="left" w:leader="none"/>
        </w:tabs>
        <w:spacing w:line="240" w:lineRule="auto" w:before="120" w:after="0"/>
        <w:ind w:left="1679" w:right="24" w:hanging="720"/>
        <w:jc w:val="both"/>
        <w:rPr>
          <w:sz w:val="24"/>
        </w:rPr>
      </w:pPr>
      <w:r>
        <w:rPr>
          <w:sz w:val="24"/>
        </w:rPr>
        <w:t>changes</w:t>
      </w:r>
      <w:r>
        <w:rPr>
          <w:spacing w:val="-17"/>
          <w:sz w:val="24"/>
        </w:rPr>
        <w:t> </w:t>
      </w:r>
      <w:r>
        <w:rPr>
          <w:sz w:val="24"/>
        </w:rPr>
        <w:t>in</w:t>
      </w:r>
      <w:r>
        <w:rPr>
          <w:spacing w:val="-17"/>
          <w:sz w:val="24"/>
        </w:rPr>
        <w:t> </w:t>
      </w:r>
      <w:r>
        <w:rPr>
          <w:sz w:val="24"/>
        </w:rPr>
        <w:t>business</w:t>
      </w:r>
      <w:r>
        <w:rPr>
          <w:spacing w:val="-16"/>
          <w:sz w:val="24"/>
        </w:rPr>
        <w:t> </w:t>
      </w:r>
      <w:r>
        <w:rPr>
          <w:sz w:val="24"/>
        </w:rPr>
        <w:t>processes</w:t>
      </w:r>
      <w:r>
        <w:rPr>
          <w:spacing w:val="-17"/>
          <w:sz w:val="24"/>
        </w:rPr>
        <w:t> </w:t>
      </w:r>
      <w:r>
        <w:rPr>
          <w:sz w:val="24"/>
        </w:rPr>
        <w:t>and</w:t>
      </w:r>
      <w:r>
        <w:rPr>
          <w:spacing w:val="-17"/>
          <w:sz w:val="24"/>
        </w:rPr>
        <w:t> </w:t>
      </w:r>
      <w:r>
        <w:rPr>
          <w:sz w:val="24"/>
        </w:rPr>
        <w:t>ways</w:t>
      </w:r>
      <w:r>
        <w:rPr>
          <w:spacing w:val="-17"/>
          <w:sz w:val="24"/>
        </w:rPr>
        <w:t> </w:t>
      </w:r>
      <w:r>
        <w:rPr>
          <w:sz w:val="24"/>
        </w:rPr>
        <w:t>of</w:t>
      </w:r>
      <w:r>
        <w:rPr>
          <w:spacing w:val="-16"/>
          <w:sz w:val="24"/>
        </w:rPr>
        <w:t> </w:t>
      </w:r>
      <w:r>
        <w:rPr>
          <w:sz w:val="24"/>
        </w:rPr>
        <w:t>working</w:t>
      </w:r>
      <w:r>
        <w:rPr>
          <w:spacing w:val="-17"/>
          <w:sz w:val="24"/>
        </w:rPr>
        <w:t> </w:t>
      </w:r>
      <w:r>
        <w:rPr>
          <w:sz w:val="24"/>
        </w:rPr>
        <w:t>that</w:t>
      </w:r>
      <w:r>
        <w:rPr>
          <w:spacing w:val="-17"/>
          <w:sz w:val="24"/>
        </w:rPr>
        <w:t> </w:t>
      </w:r>
      <w:r>
        <w:rPr>
          <w:sz w:val="24"/>
        </w:rPr>
        <w:t>would</w:t>
      </w:r>
      <w:r>
        <w:rPr>
          <w:spacing w:val="-16"/>
          <w:sz w:val="24"/>
        </w:rPr>
        <w:t> </w:t>
      </w:r>
      <w:r>
        <w:rPr>
          <w:sz w:val="24"/>
        </w:rPr>
        <w:t>enable the</w:t>
      </w:r>
      <w:r>
        <w:rPr>
          <w:spacing w:val="-12"/>
          <w:sz w:val="24"/>
        </w:rPr>
        <w:t> </w:t>
      </w:r>
      <w:r>
        <w:rPr>
          <w:sz w:val="24"/>
        </w:rPr>
        <w:t>Services</w:t>
      </w:r>
      <w:r>
        <w:rPr>
          <w:spacing w:val="-10"/>
          <w:sz w:val="24"/>
        </w:rPr>
        <w:t> </w:t>
      </w:r>
      <w:r>
        <w:rPr>
          <w:sz w:val="24"/>
        </w:rPr>
        <w:t>to</w:t>
      </w:r>
      <w:r>
        <w:rPr>
          <w:spacing w:val="-9"/>
          <w:sz w:val="24"/>
        </w:rPr>
        <w:t> </w:t>
      </w:r>
      <w:r>
        <w:rPr>
          <w:sz w:val="24"/>
        </w:rPr>
        <w:t>be</w:t>
      </w:r>
      <w:r>
        <w:rPr>
          <w:spacing w:val="-9"/>
          <w:sz w:val="24"/>
        </w:rPr>
        <w:t> </w:t>
      </w:r>
      <w:r>
        <w:rPr>
          <w:sz w:val="24"/>
        </w:rPr>
        <w:t>provided</w:t>
      </w:r>
      <w:r>
        <w:rPr>
          <w:spacing w:val="-12"/>
          <w:sz w:val="24"/>
        </w:rPr>
        <w:t> </w:t>
      </w:r>
      <w:r>
        <w:rPr>
          <w:sz w:val="24"/>
        </w:rPr>
        <w:t>at</w:t>
      </w:r>
      <w:r>
        <w:rPr>
          <w:spacing w:val="-10"/>
          <w:sz w:val="24"/>
        </w:rPr>
        <w:t> </w:t>
      </w:r>
      <w:r>
        <w:rPr>
          <w:sz w:val="24"/>
        </w:rPr>
        <w:t>lower</w:t>
      </w:r>
      <w:r>
        <w:rPr>
          <w:spacing w:val="-11"/>
          <w:sz w:val="24"/>
        </w:rPr>
        <w:t> </w:t>
      </w:r>
      <w:r>
        <w:rPr>
          <w:sz w:val="24"/>
        </w:rPr>
        <w:t>costs</w:t>
      </w:r>
      <w:r>
        <w:rPr>
          <w:spacing w:val="-12"/>
          <w:sz w:val="24"/>
        </w:rPr>
        <w:t> </w:t>
      </w:r>
      <w:r>
        <w:rPr>
          <w:sz w:val="24"/>
        </w:rPr>
        <w:t>and/or</w:t>
      </w:r>
      <w:r>
        <w:rPr>
          <w:spacing w:val="-11"/>
          <w:sz w:val="24"/>
        </w:rPr>
        <w:t> </w:t>
      </w:r>
      <w:r>
        <w:rPr>
          <w:sz w:val="24"/>
        </w:rPr>
        <w:t>at</w:t>
      </w:r>
      <w:r>
        <w:rPr>
          <w:spacing w:val="-12"/>
          <w:sz w:val="24"/>
        </w:rPr>
        <w:t> </w:t>
      </w:r>
      <w:r>
        <w:rPr>
          <w:sz w:val="24"/>
        </w:rPr>
        <w:t>greater</w:t>
      </w:r>
      <w:r>
        <w:rPr>
          <w:spacing w:val="-11"/>
          <w:sz w:val="24"/>
        </w:rPr>
        <w:t> </w:t>
      </w:r>
      <w:r>
        <w:rPr>
          <w:sz w:val="24"/>
        </w:rPr>
        <w:t>benefits</w:t>
      </w:r>
      <w:r>
        <w:rPr>
          <w:spacing w:val="-10"/>
          <w:sz w:val="24"/>
        </w:rPr>
        <w:t> </w:t>
      </w:r>
      <w:r>
        <w:rPr>
          <w:sz w:val="24"/>
        </w:rPr>
        <w:t>to the Buyer; and/or</w:t>
      </w:r>
    </w:p>
    <w:p>
      <w:pPr>
        <w:pStyle w:val="ListParagraph"/>
        <w:numPr>
          <w:ilvl w:val="2"/>
          <w:numId w:val="1"/>
        </w:numPr>
        <w:tabs>
          <w:tab w:pos="1677" w:val="left" w:leader="none"/>
          <w:tab w:pos="1679" w:val="left" w:leader="none"/>
        </w:tabs>
        <w:spacing w:line="240" w:lineRule="auto" w:before="120" w:after="0"/>
        <w:ind w:left="1679" w:right="25" w:hanging="720"/>
        <w:jc w:val="both"/>
        <w:rPr>
          <w:sz w:val="24"/>
        </w:rPr>
      </w:pPr>
      <w:r>
        <w:rPr>
          <w:sz w:val="24"/>
        </w:rPr>
        <w:t>changes to the Sites business processes and ways of working that would</w:t>
      </w:r>
      <w:r>
        <w:rPr>
          <w:spacing w:val="-4"/>
          <w:sz w:val="24"/>
        </w:rPr>
        <w:t> </w:t>
      </w:r>
      <w:r>
        <w:rPr>
          <w:sz w:val="24"/>
        </w:rPr>
        <w:t>enable</w:t>
      </w:r>
      <w:r>
        <w:rPr>
          <w:spacing w:val="-1"/>
          <w:sz w:val="24"/>
        </w:rPr>
        <w:t> </w:t>
      </w:r>
      <w:r>
        <w:rPr>
          <w:sz w:val="24"/>
        </w:rPr>
        <w:t>reductions</w:t>
      </w:r>
      <w:r>
        <w:rPr>
          <w:spacing w:val="-2"/>
          <w:sz w:val="24"/>
        </w:rPr>
        <w:t> </w:t>
      </w:r>
      <w:r>
        <w:rPr>
          <w:sz w:val="24"/>
        </w:rPr>
        <w:t>in</w:t>
      </w:r>
      <w:r>
        <w:rPr>
          <w:spacing w:val="-4"/>
          <w:sz w:val="24"/>
        </w:rPr>
        <w:t> </w:t>
      </w:r>
      <w:r>
        <w:rPr>
          <w:sz w:val="24"/>
        </w:rPr>
        <w:t>the</w:t>
      </w:r>
      <w:r>
        <w:rPr>
          <w:spacing w:val="-3"/>
          <w:sz w:val="24"/>
        </w:rPr>
        <w:t> </w:t>
      </w:r>
      <w:r>
        <w:rPr>
          <w:sz w:val="24"/>
        </w:rPr>
        <w:t>total</w:t>
      </w:r>
      <w:r>
        <w:rPr>
          <w:spacing w:val="-4"/>
          <w:sz w:val="24"/>
        </w:rPr>
        <w:t> </w:t>
      </w:r>
      <w:r>
        <w:rPr>
          <w:sz w:val="24"/>
        </w:rPr>
        <w:t>energy</w:t>
      </w:r>
      <w:r>
        <w:rPr>
          <w:spacing w:val="-4"/>
          <w:sz w:val="24"/>
        </w:rPr>
        <w:t> </w:t>
      </w:r>
      <w:r>
        <w:rPr>
          <w:sz w:val="24"/>
        </w:rPr>
        <w:t>consumed</w:t>
      </w:r>
      <w:r>
        <w:rPr>
          <w:spacing w:val="-1"/>
          <w:sz w:val="24"/>
        </w:rPr>
        <w:t> </w:t>
      </w:r>
      <w:r>
        <w:rPr>
          <w:sz w:val="24"/>
        </w:rPr>
        <w:t>annually</w:t>
      </w:r>
      <w:r>
        <w:rPr>
          <w:spacing w:val="-2"/>
          <w:sz w:val="24"/>
        </w:rPr>
        <w:t> </w:t>
      </w:r>
      <w:r>
        <w:rPr>
          <w:sz w:val="24"/>
        </w:rPr>
        <w:t>in</w:t>
      </w:r>
      <w:r>
        <w:rPr>
          <w:spacing w:val="-4"/>
          <w:sz w:val="24"/>
        </w:rPr>
        <w:t> </w:t>
      </w:r>
      <w:r>
        <w:rPr>
          <w:sz w:val="24"/>
        </w:rPr>
        <w:t>the provision of the Services.</w:t>
      </w:r>
    </w:p>
    <w:p>
      <w:pPr>
        <w:pStyle w:val="ListParagraph"/>
        <w:numPr>
          <w:ilvl w:val="1"/>
          <w:numId w:val="1"/>
        </w:numPr>
        <w:tabs>
          <w:tab w:pos="957" w:val="left" w:leader="none"/>
          <w:tab w:pos="959" w:val="left" w:leader="none"/>
        </w:tabs>
        <w:spacing w:line="240" w:lineRule="auto" w:before="120" w:after="0"/>
        <w:ind w:left="959" w:right="16" w:hanging="576"/>
        <w:jc w:val="both"/>
        <w:rPr>
          <w:sz w:val="24"/>
        </w:rPr>
      </w:pPr>
      <w:r>
        <w:rPr>
          <w:sz w:val="24"/>
        </w:rPr>
        <w:t>The Supplier shall ensure that the information that it provides to the Buyer shall be sufficient for the Buyer to decide whether any improvement should be implemented. The Supplier shall provide any further information that the Buyer requests.</w:t>
      </w:r>
    </w:p>
    <w:p>
      <w:pPr>
        <w:pStyle w:val="ListParagraph"/>
        <w:numPr>
          <w:ilvl w:val="1"/>
          <w:numId w:val="1"/>
        </w:numPr>
        <w:tabs>
          <w:tab w:pos="957" w:val="left" w:leader="none"/>
          <w:tab w:pos="959" w:val="left" w:leader="none"/>
        </w:tabs>
        <w:spacing w:line="240" w:lineRule="auto" w:before="120" w:after="0"/>
        <w:ind w:left="959" w:right="17" w:hanging="576"/>
        <w:jc w:val="both"/>
        <w:rPr>
          <w:sz w:val="24"/>
        </w:rPr>
      </w:pPr>
      <w:r>
        <w:rPr>
          <w:sz w:val="24"/>
        </w:rPr>
        <w:t>If</w:t>
      </w:r>
      <w:r>
        <w:rPr>
          <w:spacing w:val="-14"/>
          <w:sz w:val="24"/>
        </w:rPr>
        <w:t> </w:t>
      </w:r>
      <w:r>
        <w:rPr>
          <w:sz w:val="24"/>
        </w:rPr>
        <w:t>the</w:t>
      </w:r>
      <w:r>
        <w:rPr>
          <w:spacing w:val="-16"/>
          <w:sz w:val="24"/>
        </w:rPr>
        <w:t> </w:t>
      </w:r>
      <w:r>
        <w:rPr>
          <w:sz w:val="24"/>
        </w:rPr>
        <w:t>Buyer</w:t>
      </w:r>
      <w:r>
        <w:rPr>
          <w:spacing w:val="-15"/>
          <w:sz w:val="24"/>
        </w:rPr>
        <w:t> </w:t>
      </w:r>
      <w:r>
        <w:rPr>
          <w:sz w:val="24"/>
        </w:rPr>
        <w:t>wishes</w:t>
      </w:r>
      <w:r>
        <w:rPr>
          <w:spacing w:val="-17"/>
          <w:sz w:val="24"/>
        </w:rPr>
        <w:t> </w:t>
      </w:r>
      <w:r>
        <w:rPr>
          <w:sz w:val="24"/>
        </w:rPr>
        <w:t>to</w:t>
      </w:r>
      <w:r>
        <w:rPr>
          <w:spacing w:val="-16"/>
          <w:sz w:val="24"/>
        </w:rPr>
        <w:t> </w:t>
      </w:r>
      <w:r>
        <w:rPr>
          <w:sz w:val="24"/>
        </w:rPr>
        <w:t>incorporate</w:t>
      </w:r>
      <w:r>
        <w:rPr>
          <w:spacing w:val="-16"/>
          <w:sz w:val="24"/>
        </w:rPr>
        <w:t> </w:t>
      </w:r>
      <w:r>
        <w:rPr>
          <w:sz w:val="24"/>
        </w:rPr>
        <w:t>any</w:t>
      </w:r>
      <w:r>
        <w:rPr>
          <w:spacing w:val="-17"/>
          <w:sz w:val="24"/>
        </w:rPr>
        <w:t> </w:t>
      </w:r>
      <w:r>
        <w:rPr>
          <w:sz w:val="24"/>
        </w:rPr>
        <w:t>improvement</w:t>
      </w:r>
      <w:r>
        <w:rPr>
          <w:spacing w:val="-17"/>
          <w:sz w:val="24"/>
        </w:rPr>
        <w:t> </w:t>
      </w:r>
      <w:r>
        <w:rPr>
          <w:sz w:val="24"/>
        </w:rPr>
        <w:t>identified</w:t>
      </w:r>
      <w:r>
        <w:rPr>
          <w:spacing w:val="-16"/>
          <w:sz w:val="24"/>
        </w:rPr>
        <w:t> </w:t>
      </w:r>
      <w:r>
        <w:rPr>
          <w:sz w:val="24"/>
        </w:rPr>
        <w:t>by</w:t>
      </w:r>
      <w:r>
        <w:rPr>
          <w:spacing w:val="-17"/>
          <w:sz w:val="24"/>
        </w:rPr>
        <w:t> </w:t>
      </w:r>
      <w:r>
        <w:rPr>
          <w:sz w:val="24"/>
        </w:rPr>
        <w:t>the</w:t>
      </w:r>
      <w:r>
        <w:rPr>
          <w:spacing w:val="-11"/>
          <w:sz w:val="24"/>
        </w:rPr>
        <w:t> </w:t>
      </w:r>
      <w:r>
        <w:rPr>
          <w:sz w:val="24"/>
        </w:rPr>
        <w:t>Supplier, the Buyer shall request a Variation in accordance with the Variation Procedure and the Supplier shall implement such Variation at no additional cost to the Buyer. The Supplier will not refuse to agree and implement a Variation under this paragraph 2.3 and failure to do so will constitute a material Default (without prejudice to any other accrued rights or remedies the Buyer may have at the relevant time).</w:t>
      </w:r>
    </w:p>
    <w:p>
      <w:pPr>
        <w:pStyle w:val="ListParagraph"/>
        <w:numPr>
          <w:ilvl w:val="1"/>
          <w:numId w:val="1"/>
        </w:numPr>
        <w:tabs>
          <w:tab w:pos="957" w:val="left" w:leader="none"/>
          <w:tab w:pos="959" w:val="left" w:leader="none"/>
        </w:tabs>
        <w:spacing w:line="240" w:lineRule="auto" w:before="121" w:after="0"/>
        <w:ind w:left="959" w:right="24" w:hanging="576"/>
        <w:jc w:val="both"/>
        <w:rPr>
          <w:sz w:val="24"/>
        </w:rPr>
      </w:pPr>
      <w:r>
        <w:rPr>
          <w:sz w:val="24"/>
        </w:rPr>
        <w:t>The</w:t>
      </w:r>
      <w:r>
        <w:rPr>
          <w:spacing w:val="-14"/>
          <w:sz w:val="24"/>
        </w:rPr>
        <w:t> </w:t>
      </w:r>
      <w:r>
        <w:rPr>
          <w:sz w:val="24"/>
        </w:rPr>
        <w:t>Supplier</w:t>
      </w:r>
      <w:r>
        <w:rPr>
          <w:spacing w:val="-13"/>
          <w:sz w:val="24"/>
        </w:rPr>
        <w:t> </w:t>
      </w:r>
      <w:r>
        <w:rPr>
          <w:sz w:val="24"/>
        </w:rPr>
        <w:t>will</w:t>
      </w:r>
      <w:r>
        <w:rPr>
          <w:spacing w:val="-14"/>
          <w:sz w:val="24"/>
        </w:rPr>
        <w:t> </w:t>
      </w:r>
      <w:r>
        <w:rPr>
          <w:sz w:val="24"/>
        </w:rPr>
        <w:t>inform</w:t>
      </w:r>
      <w:r>
        <w:rPr>
          <w:spacing w:val="-14"/>
          <w:sz w:val="24"/>
        </w:rPr>
        <w:t> </w:t>
      </w:r>
      <w:r>
        <w:rPr>
          <w:sz w:val="24"/>
        </w:rPr>
        <w:t>the</w:t>
      </w:r>
      <w:r>
        <w:rPr>
          <w:spacing w:val="-14"/>
          <w:sz w:val="24"/>
        </w:rPr>
        <w:t> </w:t>
      </w:r>
      <w:r>
        <w:rPr>
          <w:sz w:val="24"/>
        </w:rPr>
        <w:t>Buyer</w:t>
      </w:r>
      <w:r>
        <w:rPr>
          <w:spacing w:val="-16"/>
          <w:sz w:val="24"/>
        </w:rPr>
        <w:t> </w:t>
      </w:r>
      <w:r>
        <w:rPr>
          <w:sz w:val="24"/>
        </w:rPr>
        <w:t>of</w:t>
      </w:r>
      <w:r>
        <w:rPr>
          <w:spacing w:val="-14"/>
          <w:sz w:val="24"/>
        </w:rPr>
        <w:t> </w:t>
      </w:r>
      <w:r>
        <w:rPr>
          <w:sz w:val="24"/>
        </w:rPr>
        <w:t>any</w:t>
      </w:r>
      <w:r>
        <w:rPr>
          <w:spacing w:val="-15"/>
          <w:sz w:val="24"/>
        </w:rPr>
        <w:t> </w:t>
      </w:r>
      <w:r>
        <w:rPr>
          <w:sz w:val="24"/>
        </w:rPr>
        <w:t>improvements</w:t>
      </w:r>
      <w:r>
        <w:rPr>
          <w:spacing w:val="-14"/>
          <w:sz w:val="24"/>
        </w:rPr>
        <w:t> </w:t>
      </w:r>
      <w:r>
        <w:rPr>
          <w:sz w:val="24"/>
        </w:rPr>
        <w:t>or</w:t>
      </w:r>
      <w:r>
        <w:rPr>
          <w:spacing w:val="-13"/>
          <w:sz w:val="24"/>
        </w:rPr>
        <w:t> </w:t>
      </w:r>
      <w:r>
        <w:rPr>
          <w:sz w:val="24"/>
        </w:rPr>
        <w:t>reductions</w:t>
      </w:r>
      <w:r>
        <w:rPr>
          <w:spacing w:val="-13"/>
          <w:sz w:val="24"/>
        </w:rPr>
        <w:t> </w:t>
      </w:r>
      <w:r>
        <w:rPr>
          <w:sz w:val="24"/>
        </w:rPr>
        <w:t>in</w:t>
      </w:r>
      <w:r>
        <w:rPr>
          <w:spacing w:val="-12"/>
          <w:sz w:val="24"/>
        </w:rPr>
        <w:t> </w:t>
      </w:r>
      <w:r>
        <w:rPr>
          <w:sz w:val="24"/>
        </w:rPr>
        <w:t>costs that are identified as part of a continuous improvement exercise undertaken by the Buyer at the request of CCS under Framework Schedule 4, and will</w:t>
      </w:r>
    </w:p>
    <w:p>
      <w:pPr>
        <w:pStyle w:val="ListParagraph"/>
        <w:spacing w:after="0" w:line="240" w:lineRule="auto"/>
        <w:jc w:val="both"/>
        <w:rPr>
          <w:sz w:val="24"/>
        </w:rPr>
        <w:sectPr>
          <w:pgSz w:w="11910" w:h="16840"/>
          <w:pgMar w:header="715" w:footer="1378" w:top="1580" w:bottom="1560" w:left="1417" w:right="1417"/>
        </w:sectPr>
      </w:pPr>
    </w:p>
    <w:p>
      <w:pPr>
        <w:pStyle w:val="BodyText"/>
        <w:spacing w:before="82"/>
        <w:ind w:left="959"/>
      </w:pPr>
      <w:r>
        <w:rPr/>
        <w:t>implement</w:t>
      </w:r>
      <w:r>
        <w:rPr>
          <w:spacing w:val="40"/>
        </w:rPr>
        <w:t> </w:t>
      </w:r>
      <w:r>
        <w:rPr/>
        <w:t>and/or</w:t>
      </w:r>
      <w:r>
        <w:rPr>
          <w:spacing w:val="40"/>
        </w:rPr>
        <w:t> </w:t>
      </w:r>
      <w:r>
        <w:rPr/>
        <w:t>apply</w:t>
      </w:r>
      <w:r>
        <w:rPr>
          <w:spacing w:val="40"/>
        </w:rPr>
        <w:t> </w:t>
      </w:r>
      <w:r>
        <w:rPr/>
        <w:t>those</w:t>
      </w:r>
      <w:r>
        <w:rPr>
          <w:spacing w:val="40"/>
        </w:rPr>
        <w:t> </w:t>
      </w:r>
      <w:r>
        <w:rPr/>
        <w:t>to</w:t>
      </w:r>
      <w:r>
        <w:rPr>
          <w:spacing w:val="40"/>
        </w:rPr>
        <w:t> </w:t>
      </w:r>
      <w:r>
        <w:rPr/>
        <w:t>this</w:t>
      </w:r>
      <w:r>
        <w:rPr>
          <w:spacing w:val="40"/>
        </w:rPr>
        <w:t> </w:t>
      </w:r>
      <w:r>
        <w:rPr/>
        <w:t>Call-Off</w:t>
      </w:r>
      <w:r>
        <w:rPr>
          <w:spacing w:val="40"/>
        </w:rPr>
        <w:t> </w:t>
      </w:r>
      <w:r>
        <w:rPr/>
        <w:t>Contract</w:t>
      </w:r>
      <w:r>
        <w:rPr>
          <w:spacing w:val="40"/>
        </w:rPr>
        <w:t> </w:t>
      </w:r>
      <w:r>
        <w:rPr/>
        <w:t>where</w:t>
      </w:r>
      <w:r>
        <w:rPr>
          <w:spacing w:val="40"/>
        </w:rPr>
        <w:t> </w:t>
      </w:r>
      <w:r>
        <w:rPr/>
        <w:t>the</w:t>
      </w:r>
      <w:r>
        <w:rPr>
          <w:spacing w:val="40"/>
        </w:rPr>
        <w:t> </w:t>
      </w:r>
      <w:r>
        <w:rPr/>
        <w:t>Buyer requests it in accordance with paragraph 2.3 of this Call-Off Schedule 3.</w:t>
      </w:r>
    </w:p>
    <w:sectPr>
      <w:pgSz w:w="11910" w:h="16840"/>
      <w:pgMar w:header="715" w:footer="1378" w:top="1580" w:bottom="156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07456">
              <wp:simplePos x="0" y="0"/>
              <wp:positionH relativeFrom="page">
                <wp:posOffset>902004</wp:posOffset>
              </wp:positionH>
              <wp:positionV relativeFrom="page">
                <wp:posOffset>9677901</wp:posOffset>
              </wp:positionV>
              <wp:extent cx="1443355"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3355"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5pt;height:13.15pt;mso-position-horizontal-relative:page;mso-position-vertical-relative:page;z-index:-15809024"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07968">
              <wp:simplePos x="0" y="0"/>
              <wp:positionH relativeFrom="page">
                <wp:posOffset>6539230</wp:posOffset>
              </wp:positionH>
              <wp:positionV relativeFrom="page">
                <wp:posOffset>9824204</wp:posOffset>
              </wp:positionV>
              <wp:extent cx="15938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59385" cy="167005"/>
                      </a:xfrm>
                      <a:prstGeom prst="rect">
                        <a:avLst/>
                      </a:prstGeom>
                    </wps:spPr>
                    <wps:txbx>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 style="position:absolute;margin-left:514.900024pt;margin-top:773.559448pt;width:12.55pt;height:13.15pt;mso-position-horizontal-relative:page;mso-position-vertical-relative:page;z-index:-15808512" type="#_x0000_t202" id="docshape3" filled="false" stroked="false">
              <v:textbox inset="0,0,0,0">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508480">
              <wp:simplePos x="0" y="0"/>
              <wp:positionH relativeFrom="page">
                <wp:posOffset>902004</wp:posOffset>
              </wp:positionH>
              <wp:positionV relativeFrom="page">
                <wp:posOffset>9970509</wp:posOffset>
              </wp:positionV>
              <wp:extent cx="10623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85.079468pt;width:83.65pt;height:13.15pt;mso-position-horizontal-relative:page;mso-position-vertical-relative:page;z-index:-15808000"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06944">
              <wp:simplePos x="0" y="0"/>
              <wp:positionH relativeFrom="page">
                <wp:posOffset>902004</wp:posOffset>
              </wp:positionH>
              <wp:positionV relativeFrom="page">
                <wp:posOffset>441241</wp:posOffset>
              </wp:positionV>
              <wp:extent cx="2844800"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844800" cy="459740"/>
                      </a:xfrm>
                      <a:prstGeom prst="rect">
                        <a:avLst/>
                      </a:prstGeom>
                    </wps:spPr>
                    <wps:txbx>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3</w:t>
                          </w:r>
                          <w:r>
                            <w:rPr>
                              <w:b/>
                              <w:spacing w:val="-7"/>
                              <w:sz w:val="20"/>
                            </w:rPr>
                            <w:t> </w:t>
                          </w:r>
                          <w:r>
                            <w:rPr>
                              <w:b/>
                              <w:sz w:val="20"/>
                            </w:rPr>
                            <w:t>(Continuous</w:t>
                          </w:r>
                          <w:r>
                            <w:rPr>
                              <w:b/>
                              <w:spacing w:val="-7"/>
                              <w:sz w:val="20"/>
                            </w:rPr>
                            <w:t> </w:t>
                          </w:r>
                          <w:r>
                            <w:rPr>
                              <w:b/>
                              <w:spacing w:val="-2"/>
                              <w:sz w:val="20"/>
                            </w:rPr>
                            <w:t>Improvement)</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pacing w:val="-2"/>
                              <w:sz w:val="20"/>
                            </w:rPr>
                            <w:t>Crown</w:t>
                          </w:r>
                          <w:r>
                            <w:rPr>
                              <w:spacing w:val="4"/>
                              <w:sz w:val="20"/>
                            </w:rPr>
                            <w:t> </w:t>
                          </w:r>
                          <w:r>
                            <w:rPr>
                              <w:spacing w:val="-2"/>
                              <w:sz w:val="20"/>
                            </w:rPr>
                            <w:t>Copyright</w:t>
                          </w:r>
                          <w:r>
                            <w:rPr>
                              <w:spacing w:val="-13"/>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224pt;height:36.2pt;mso-position-horizontal-relative:page;mso-position-vertical-relative:page;z-index:-15809536" type="#_x0000_t202" id="docshape1" filled="false" stroked="false">
              <v:textbox inset="0,0,0,0">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3</w:t>
                    </w:r>
                    <w:r>
                      <w:rPr>
                        <w:b/>
                        <w:spacing w:val="-7"/>
                        <w:sz w:val="20"/>
                      </w:rPr>
                      <w:t> </w:t>
                    </w:r>
                    <w:r>
                      <w:rPr>
                        <w:b/>
                        <w:sz w:val="20"/>
                      </w:rPr>
                      <w:t>(Continuous</w:t>
                    </w:r>
                    <w:r>
                      <w:rPr>
                        <w:b/>
                        <w:spacing w:val="-7"/>
                        <w:sz w:val="20"/>
                      </w:rPr>
                      <w:t> </w:t>
                    </w:r>
                    <w:r>
                      <w:rPr>
                        <w:b/>
                        <w:spacing w:val="-2"/>
                        <w:sz w:val="20"/>
                      </w:rPr>
                      <w:t>Improvement)</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pacing w:val="-2"/>
                        <w:sz w:val="20"/>
                      </w:rPr>
                      <w:t>Crown</w:t>
                    </w:r>
                    <w:r>
                      <w:rPr>
                        <w:spacing w:val="4"/>
                        <w:sz w:val="20"/>
                      </w:rPr>
                      <w:t> </w:t>
                    </w:r>
                    <w:r>
                      <w:rPr>
                        <w:spacing w:val="-2"/>
                        <w:sz w:val="20"/>
                      </w:rPr>
                      <w:t>Copyright</w:t>
                    </w:r>
                    <w:r>
                      <w:rPr>
                        <w:spacing w:val="-13"/>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383" w:hanging="36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959" w:hanging="576"/>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679" w:hanging="72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2604" w:hanging="720"/>
      </w:pPr>
      <w:rPr>
        <w:rFonts w:hint="default"/>
        <w:lang w:val="en-US" w:eastAsia="en-US" w:bidi="ar-SA"/>
      </w:rPr>
    </w:lvl>
    <w:lvl w:ilvl="4">
      <w:start w:val="0"/>
      <w:numFmt w:val="bullet"/>
      <w:lvlText w:val="•"/>
      <w:lvlJc w:val="left"/>
      <w:pPr>
        <w:ind w:left="3528" w:hanging="720"/>
      </w:pPr>
      <w:rPr>
        <w:rFonts w:hint="default"/>
        <w:lang w:val="en-US" w:eastAsia="en-US" w:bidi="ar-SA"/>
      </w:rPr>
    </w:lvl>
    <w:lvl w:ilvl="5">
      <w:start w:val="0"/>
      <w:numFmt w:val="bullet"/>
      <w:lvlText w:val="•"/>
      <w:lvlJc w:val="left"/>
      <w:pPr>
        <w:ind w:left="4452" w:hanging="720"/>
      </w:pPr>
      <w:rPr>
        <w:rFonts w:hint="default"/>
        <w:lang w:val="en-US" w:eastAsia="en-US" w:bidi="ar-SA"/>
      </w:rPr>
    </w:lvl>
    <w:lvl w:ilvl="6">
      <w:start w:val="0"/>
      <w:numFmt w:val="bullet"/>
      <w:lvlText w:val="•"/>
      <w:lvlJc w:val="left"/>
      <w:pPr>
        <w:ind w:left="5376" w:hanging="720"/>
      </w:pPr>
      <w:rPr>
        <w:rFonts w:hint="default"/>
        <w:lang w:val="en-US" w:eastAsia="en-US" w:bidi="ar-SA"/>
      </w:rPr>
    </w:lvl>
    <w:lvl w:ilvl="7">
      <w:start w:val="0"/>
      <w:numFmt w:val="bullet"/>
      <w:lvlText w:val="•"/>
      <w:lvlJc w:val="left"/>
      <w:pPr>
        <w:ind w:left="6300" w:hanging="720"/>
      </w:pPr>
      <w:rPr>
        <w:rFonts w:hint="default"/>
        <w:lang w:val="en-US" w:eastAsia="en-US" w:bidi="ar-SA"/>
      </w:rPr>
    </w:lvl>
    <w:lvl w:ilvl="8">
      <w:start w:val="0"/>
      <w:numFmt w:val="bullet"/>
      <w:lvlText w:val="•"/>
      <w:lvlJc w:val="left"/>
      <w:pPr>
        <w:ind w:left="7224" w:hanging="72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ind w:left="381" w:hanging="358"/>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1"/>
      <w:ind w:left="23"/>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959" w:right="24" w:hanging="576"/>
      <w:jc w:val="both"/>
    </w:pPr>
    <w:rPr>
      <w:rFonts w:ascii="Arial" w:hAnsi="Arial" w:eastAsia="Arial" w:cs="Arial"/>
      <w:lang w:val="en-US" w:eastAsia="en-US" w:bidi="ar-SA"/>
    </w:rPr>
  </w:style>
  <w:style w:styleId="TableParagraph" w:type="paragraph">
    <w:name w:val="Table Paragraph"/>
    <w:basedOn w:val="Normal"/>
    <w:uiPriority w:val="1"/>
    <w:qFormat/>
    <w:pPr>
      <w:spacing w:line="229" w:lineRule="exact"/>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Anja Beriro</dc:creator>
  <dcterms:created xsi:type="dcterms:W3CDTF">2025-07-03T13:45:42Z</dcterms:created>
  <dcterms:modified xsi:type="dcterms:W3CDTF">2025-07-03T13:45:42Z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698c3f75-29fd-41fc-acaf-15e7bf97b28b</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